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578" w:lineRule="exact"/>
        <w:ind w:left="0"/>
        <w:rPr>
          <w:rFonts w:ascii="方正小标宋简体" w:hAnsi="方正大标宋简体" w:eastAsia="方正小标宋简体" w:cstheme="minorBidi"/>
          <w:kern w:val="2"/>
          <w:sz w:val="44"/>
          <w:szCs w:val="44"/>
          <w:lang w:eastAsia="zh-CN"/>
        </w:rPr>
      </w:pPr>
      <w:r>
        <w:rPr>
          <w:rFonts w:hint="eastAsia" w:ascii="黑体" w:hAnsi="黑体" w:eastAsia="黑体" w:cs="Times New Roman"/>
          <w:lang w:eastAsia="zh-CN"/>
        </w:rPr>
        <w:t>附件</w:t>
      </w:r>
      <w:r>
        <w:rPr>
          <w:rFonts w:hint="eastAsia" w:ascii="黑体" w:hAnsi="黑体" w:eastAsia="黑体" w:cs="Times New Roman"/>
          <w:lang w:val="en-US" w:eastAsia="zh-CN"/>
        </w:rPr>
        <w:t>1</w:t>
      </w:r>
    </w:p>
    <w:p>
      <w:pPr>
        <w:pStyle w:val="2"/>
        <w:adjustRightInd w:val="0"/>
        <w:snapToGrid w:val="0"/>
        <w:spacing w:line="578" w:lineRule="exact"/>
        <w:ind w:left="0"/>
        <w:jc w:val="center"/>
        <w:rPr>
          <w:rFonts w:hint="eastAsia" w:ascii="方正小标宋简体" w:hAnsi="方正大标宋简体" w:eastAsia="方正小标宋简体" w:cstheme="minorBidi"/>
          <w:kern w:val="2"/>
          <w:sz w:val="44"/>
          <w:szCs w:val="44"/>
          <w:lang w:val="en-US" w:eastAsia="zh-CN"/>
        </w:rPr>
      </w:pPr>
      <w:r>
        <w:rPr>
          <w:rFonts w:hint="eastAsia" w:ascii="方正小标宋简体" w:hAnsi="方正大标宋简体" w:eastAsia="方正小标宋简体" w:cstheme="minorBidi"/>
          <w:kern w:val="2"/>
          <w:sz w:val="44"/>
          <w:szCs w:val="44"/>
          <w:lang w:val="en-US" w:eastAsia="zh-CN"/>
        </w:rPr>
        <w:t>扬州中瑞酒店职业学院</w:t>
      </w:r>
    </w:p>
    <w:p>
      <w:pPr>
        <w:pStyle w:val="2"/>
        <w:adjustRightInd w:val="0"/>
        <w:snapToGrid w:val="0"/>
        <w:spacing w:line="578" w:lineRule="exact"/>
        <w:ind w:left="0"/>
        <w:jc w:val="center"/>
        <w:rPr>
          <w:rFonts w:ascii="方正小标宋简体" w:hAnsi="方正大标宋简体" w:eastAsia="方正小标宋简体" w:cstheme="minorBidi"/>
          <w:kern w:val="2"/>
          <w:sz w:val="44"/>
          <w:szCs w:val="44"/>
          <w:lang w:eastAsia="zh-CN"/>
        </w:rPr>
      </w:pPr>
      <w:r>
        <w:rPr>
          <w:rFonts w:hint="eastAsia" w:ascii="方正小标宋简体" w:hAnsi="方正大标宋简体" w:eastAsia="方正小标宋简体" w:cstheme="minorBidi"/>
          <w:kern w:val="2"/>
          <w:sz w:val="44"/>
          <w:szCs w:val="44"/>
          <w:lang w:val="en-US" w:eastAsia="zh-CN"/>
        </w:rPr>
        <w:t>在线</w:t>
      </w:r>
      <w:r>
        <w:rPr>
          <w:rFonts w:hint="eastAsia" w:ascii="方正小标宋简体" w:hAnsi="方正大标宋简体" w:eastAsia="方正小标宋简体" w:cstheme="minorBidi"/>
          <w:kern w:val="2"/>
          <w:sz w:val="44"/>
          <w:szCs w:val="44"/>
          <w:lang w:eastAsia="zh-CN"/>
        </w:rPr>
        <w:t>精品课程建设实施方案</w:t>
      </w:r>
    </w:p>
    <w:p>
      <w:pPr>
        <w:pStyle w:val="2"/>
        <w:adjustRightInd w:val="0"/>
        <w:snapToGrid w:val="0"/>
        <w:spacing w:line="578" w:lineRule="exact"/>
        <w:ind w:left="0" w:firstLine="640" w:firstLineChars="200"/>
        <w:jc w:val="center"/>
        <w:rPr>
          <w:rFonts w:ascii="Times New Roman" w:hAnsi="Times New Roman" w:eastAsia="仿宋_GB2312" w:cs="Times New Roman"/>
          <w:lang w:eastAsia="zh-CN"/>
        </w:rPr>
      </w:pPr>
    </w:p>
    <w:p>
      <w:pPr>
        <w:pStyle w:val="2"/>
        <w:adjustRightInd w:val="0"/>
        <w:snapToGrid w:val="0"/>
        <w:spacing w:line="578" w:lineRule="exact"/>
        <w:ind w:left="0" w:firstLine="640" w:firstLineChars="200"/>
        <w:jc w:val="both"/>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根据中共中央办公厅、国务院办公厅《关于深化现代职业教育体系建设改革的意见》和我省《关于推动现代职业教育高质量发展的实施意见》（苏办发〔2022〕5号）等文件精神，建设一批立足</w:t>
      </w:r>
      <w:r>
        <w:rPr>
          <w:rFonts w:hint="eastAsia" w:ascii="Times New Roman" w:hAnsi="Times New Roman" w:eastAsia="仿宋_GB2312" w:cs="Times New Roman"/>
          <w:lang w:val="en-US" w:eastAsia="zh-CN"/>
        </w:rPr>
        <w:t>我校</w:t>
      </w:r>
      <w:r>
        <w:rPr>
          <w:rFonts w:hint="eastAsia" w:ascii="Times New Roman" w:hAnsi="Times New Roman" w:eastAsia="仿宋_GB2312" w:cs="Times New Roman"/>
          <w:lang w:eastAsia="zh-CN"/>
        </w:rPr>
        <w:t>、辐射</w:t>
      </w:r>
      <w:r>
        <w:rPr>
          <w:rFonts w:hint="eastAsia" w:ascii="Times New Roman" w:hAnsi="Times New Roman" w:eastAsia="仿宋_GB2312" w:cs="Times New Roman"/>
          <w:lang w:val="en-US" w:eastAsia="zh-CN"/>
        </w:rPr>
        <w:t>全省</w:t>
      </w:r>
      <w:r>
        <w:rPr>
          <w:rFonts w:hint="eastAsia" w:ascii="Times New Roman" w:hAnsi="Times New Roman" w:eastAsia="仿宋_GB2312" w:cs="Times New Roman"/>
          <w:lang w:eastAsia="zh-CN"/>
        </w:rPr>
        <w:t>的高质量</w:t>
      </w:r>
      <w:r>
        <w:rPr>
          <w:rFonts w:hint="eastAsia" w:ascii="Times New Roman" w:hAnsi="Times New Roman" w:eastAsia="仿宋_GB2312" w:cs="Times New Roman"/>
          <w:lang w:val="en-US" w:eastAsia="zh-CN"/>
        </w:rPr>
        <w:t>在线</w:t>
      </w:r>
      <w:r>
        <w:rPr>
          <w:rFonts w:hint="eastAsia" w:ascii="Times New Roman" w:hAnsi="Times New Roman" w:eastAsia="仿宋_GB2312" w:cs="Times New Roman"/>
          <w:lang w:eastAsia="zh-CN"/>
        </w:rPr>
        <w:t>教育精品课程，特制定本方案。</w:t>
      </w:r>
    </w:p>
    <w:p>
      <w:pPr>
        <w:adjustRightInd w:val="0"/>
        <w:snapToGrid w:val="0"/>
        <w:spacing w:line="578" w:lineRule="exact"/>
        <w:ind w:firstLine="640" w:firstLineChars="200"/>
        <w:jc w:val="both"/>
        <w:rPr>
          <w:rFonts w:ascii="黑体" w:hAnsi="黑体" w:eastAsia="黑体" w:cs="Times New Roman"/>
          <w:sz w:val="32"/>
          <w:szCs w:val="32"/>
          <w:lang w:eastAsia="zh-CN"/>
        </w:rPr>
      </w:pPr>
      <w:r>
        <w:rPr>
          <w:rFonts w:hint="eastAsia" w:ascii="黑体" w:hAnsi="黑体" w:eastAsia="黑体" w:cs="Times New Roman"/>
          <w:sz w:val="32"/>
          <w:szCs w:val="32"/>
          <w:lang w:eastAsia="zh-CN"/>
        </w:rPr>
        <w:t>一、总体要求</w:t>
      </w:r>
    </w:p>
    <w:p>
      <w:pPr>
        <w:pStyle w:val="2"/>
        <w:adjustRightInd w:val="0"/>
        <w:snapToGrid w:val="0"/>
        <w:spacing w:line="578" w:lineRule="exact"/>
        <w:ind w:left="0" w:firstLine="640" w:firstLineChars="200"/>
        <w:jc w:val="both"/>
        <w:rPr>
          <w:rFonts w:ascii="Times New Roman" w:hAnsi="Times New Roman" w:eastAsia="仿宋_GB2312" w:cs="Times New Roman"/>
          <w:lang w:eastAsia="zh-CN"/>
        </w:rPr>
      </w:pPr>
      <w:r>
        <w:rPr>
          <w:rFonts w:hint="eastAsia" w:ascii="楷体_GB2312" w:hAnsi="Times New Roman" w:eastAsia="楷体_GB2312" w:cs="Times New Roman"/>
          <w:b w:val="0"/>
          <w:bCs/>
          <w:lang w:eastAsia="zh-CN"/>
        </w:rPr>
        <w:t>1.指导思想。</w:t>
      </w:r>
      <w:r>
        <w:rPr>
          <w:rFonts w:hint="eastAsia" w:ascii="Times New Roman" w:hAnsi="Times New Roman" w:eastAsia="仿宋_GB2312" w:cs="Times New Roman"/>
          <w:lang w:eastAsia="zh-CN"/>
        </w:rPr>
        <w:t>深入贯彻习近平总书记关于职业教育工作的重要指示和全国、全省职业教育大会精神，落实</w:t>
      </w:r>
      <w:r>
        <w:fldChar w:fldCharType="begin"/>
      </w:r>
      <w:r>
        <w:instrText xml:space="preserve"> HYPERLINK "https://baike.baidu.com/item/%E7%AB%8B%E5%BE%B7%E6%A0%91%E4%BA%BA/23216384" \t "https://baike.baidu.com/item/%E6%95%99%E8%82%B2%E9%83%A8%E5%85%B3%E4%BA%8E%E4%B8%80%E6%B5%81%E6%9C%AC%E7%A7%91%E8%AF%BE%E7%A8%8B%E5%BB%BA%E8%AE%BE%E7%9A%84%E5%AE%9E%E6%96%BD%E6%84%8F%E8%A7%81/_blank" </w:instrText>
      </w:r>
      <w:r>
        <w:fldChar w:fldCharType="separate"/>
      </w:r>
      <w:r>
        <w:rPr>
          <w:rFonts w:ascii="Times New Roman" w:hAnsi="Times New Roman" w:eastAsia="仿宋_GB2312" w:cs="Times New Roman"/>
          <w:lang w:eastAsia="zh-CN"/>
        </w:rPr>
        <w:t>立德树人</w:t>
      </w:r>
      <w:r>
        <w:rPr>
          <w:rFonts w:ascii="Times New Roman" w:hAnsi="Times New Roman" w:eastAsia="仿宋_GB2312" w:cs="Times New Roman"/>
          <w:lang w:eastAsia="zh-CN"/>
        </w:rPr>
        <w:fldChar w:fldCharType="end"/>
      </w:r>
      <w:r>
        <w:rPr>
          <w:rFonts w:ascii="Times New Roman" w:hAnsi="Times New Roman" w:eastAsia="仿宋_GB2312" w:cs="Times New Roman"/>
          <w:lang w:eastAsia="zh-CN"/>
        </w:rPr>
        <w:t>根本任务，</w:t>
      </w:r>
      <w:r>
        <w:rPr>
          <w:rFonts w:hint="eastAsia" w:ascii="Times New Roman" w:hAnsi="Times New Roman" w:eastAsia="仿宋_GB2312" w:cs="Times New Roman"/>
          <w:lang w:eastAsia="zh-CN"/>
        </w:rPr>
        <w:t>推进教育数字化战略行动，推动职业教育优质数字资源开发建设、交互应用与开放共享，促进职业教育育人方式、教学模式、教学方法和考核评价的数字化重塑</w:t>
      </w:r>
      <w:bookmarkStart w:id="1" w:name="_GoBack"/>
      <w:bookmarkEnd w:id="1"/>
      <w:r>
        <w:rPr>
          <w:rFonts w:hint="eastAsia" w:ascii="Times New Roman" w:hAnsi="Times New Roman" w:eastAsia="仿宋_GB2312" w:cs="Times New Roman"/>
          <w:lang w:eastAsia="zh-CN"/>
        </w:rPr>
        <w:t>，打造</w:t>
      </w:r>
      <w:r>
        <w:rPr>
          <w:rFonts w:ascii="Times New Roman" w:hAnsi="Times New Roman" w:eastAsia="仿宋_GB2312" w:cs="Times New Roman"/>
          <w:lang w:eastAsia="zh-CN"/>
        </w:rPr>
        <w:t>特色</w:t>
      </w:r>
      <w:r>
        <w:rPr>
          <w:rFonts w:hint="eastAsia" w:ascii="Times New Roman" w:hAnsi="Times New Roman" w:eastAsia="仿宋_GB2312" w:cs="Times New Roman"/>
          <w:lang w:eastAsia="zh-CN"/>
        </w:rPr>
        <w:t>鲜明</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一流</w:t>
      </w:r>
      <w:r>
        <w:rPr>
          <w:rFonts w:ascii="Times New Roman" w:hAnsi="Times New Roman" w:eastAsia="仿宋_GB2312" w:cs="Times New Roman"/>
          <w:lang w:eastAsia="zh-CN"/>
        </w:rPr>
        <w:t>水平的</w:t>
      </w:r>
      <w:r>
        <w:rPr>
          <w:rFonts w:hint="eastAsia" w:ascii="Times New Roman" w:hAnsi="Times New Roman" w:eastAsia="仿宋_GB2312" w:cs="Times New Roman"/>
          <w:lang w:eastAsia="zh-CN"/>
        </w:rPr>
        <w:t>职业教育精品</w:t>
      </w:r>
      <w:r>
        <w:rPr>
          <w:rFonts w:ascii="Times New Roman" w:hAnsi="Times New Roman" w:eastAsia="仿宋_GB2312" w:cs="Times New Roman"/>
          <w:lang w:eastAsia="zh-CN"/>
        </w:rPr>
        <w:t>课程</w:t>
      </w:r>
      <w:r>
        <w:rPr>
          <w:rFonts w:hint="eastAsia" w:ascii="Times New Roman" w:hAnsi="Times New Roman" w:eastAsia="仿宋_GB2312" w:cs="Times New Roman"/>
          <w:lang w:eastAsia="zh-CN"/>
        </w:rPr>
        <w:t>，提高职业教育人才培养质量。</w:t>
      </w:r>
    </w:p>
    <w:p>
      <w:pPr>
        <w:pStyle w:val="2"/>
        <w:adjustRightInd w:val="0"/>
        <w:snapToGrid w:val="0"/>
        <w:spacing w:line="578" w:lineRule="exact"/>
        <w:ind w:left="0" w:firstLine="640" w:firstLineChars="200"/>
        <w:jc w:val="both"/>
        <w:rPr>
          <w:rFonts w:ascii="Times New Roman" w:hAnsi="Times New Roman" w:eastAsia="仿宋_GB2312" w:cs="Times New Roman"/>
          <w:lang w:eastAsia="zh-CN"/>
        </w:rPr>
      </w:pPr>
      <w:r>
        <w:rPr>
          <w:rFonts w:hint="eastAsia" w:ascii="楷体_GB2312" w:hAnsi="Times New Roman" w:eastAsia="楷体_GB2312" w:cs="Times New Roman"/>
          <w:bCs/>
          <w:lang w:eastAsia="zh-CN"/>
        </w:rPr>
        <w:t>2.总体目标。</w:t>
      </w:r>
      <w:r>
        <w:rPr>
          <w:rFonts w:hint="eastAsia" w:ascii="Times New Roman" w:hAnsi="Times New Roman" w:eastAsia="仿宋_GB2312" w:cs="Times New Roman"/>
          <w:lang w:eastAsia="zh-CN"/>
        </w:rPr>
        <w:t>主动适应数字教育新形势，遵循职业教育教学规律和技术技能人才成长规律，将信息技术融入教学活动中，优化课程设计和教学实施，提升教师教学能力和信息素养，推进“课堂革命”，提高人才培养的针对性。集聚优质资源，扶持优质公共基础课程、量大面广专业（技能）课程、新兴产业领域和紧缺领域专业（技能）课程建设，到2025年</w:t>
      </w:r>
      <w:r>
        <w:rPr>
          <w:rFonts w:ascii="Times New Roman" w:hAnsi="Times New Roman" w:eastAsia="仿宋_GB2312" w:cs="Times New Roman"/>
          <w:lang w:eastAsia="zh-CN"/>
        </w:rPr>
        <w:t>，建成</w:t>
      </w:r>
      <w:r>
        <w:rPr>
          <w:rFonts w:hint="eastAsia" w:ascii="Times New Roman" w:hAnsi="Times New Roman" w:eastAsia="仿宋_GB2312" w:cs="Times New Roman"/>
          <w:lang w:val="en-US" w:eastAsia="zh-CN"/>
        </w:rPr>
        <w:t>10</w:t>
      </w:r>
      <w:r>
        <w:rPr>
          <w:rFonts w:hint="eastAsia" w:ascii="Times New Roman" w:hAnsi="Times New Roman" w:eastAsia="仿宋_GB2312" w:cs="Times New Roman"/>
          <w:lang w:eastAsia="zh-CN"/>
        </w:rPr>
        <w:t>门左右的</w:t>
      </w:r>
      <w:r>
        <w:rPr>
          <w:rFonts w:hint="eastAsia" w:ascii="Times New Roman" w:hAnsi="Times New Roman" w:eastAsia="仿宋_GB2312" w:cs="Times New Roman"/>
          <w:lang w:val="en-US" w:eastAsia="zh-CN"/>
        </w:rPr>
        <w:t>校</w:t>
      </w:r>
      <w:r>
        <w:rPr>
          <w:rFonts w:hint="eastAsia" w:ascii="Times New Roman" w:hAnsi="Times New Roman" w:eastAsia="仿宋_GB2312" w:cs="Times New Roman"/>
          <w:lang w:eastAsia="zh-CN"/>
        </w:rPr>
        <w:t>级在线精品课程</w:t>
      </w:r>
      <w:r>
        <w:rPr>
          <w:rFonts w:ascii="Times New Roman" w:hAnsi="Times New Roman" w:eastAsia="仿宋_GB2312" w:cs="Times New Roman"/>
          <w:lang w:eastAsia="zh-CN"/>
        </w:rPr>
        <w:t>。</w:t>
      </w:r>
    </w:p>
    <w:p>
      <w:pPr>
        <w:adjustRightInd w:val="0"/>
        <w:snapToGrid w:val="0"/>
        <w:spacing w:line="578" w:lineRule="exact"/>
        <w:ind w:firstLine="640" w:firstLineChars="200"/>
        <w:jc w:val="both"/>
        <w:rPr>
          <w:rFonts w:ascii="黑体" w:hAnsi="黑体" w:eastAsia="黑体" w:cs="Times New Roman"/>
          <w:sz w:val="32"/>
          <w:szCs w:val="32"/>
          <w:lang w:eastAsia="zh-CN"/>
        </w:rPr>
      </w:pPr>
      <w:r>
        <w:rPr>
          <w:rFonts w:hint="eastAsia" w:ascii="黑体" w:hAnsi="黑体" w:eastAsia="黑体" w:cs="Times New Roman"/>
          <w:sz w:val="32"/>
          <w:szCs w:val="32"/>
          <w:lang w:eastAsia="zh-CN"/>
        </w:rPr>
        <w:t>二、建设范围</w:t>
      </w:r>
    </w:p>
    <w:p>
      <w:pPr>
        <w:pStyle w:val="2"/>
        <w:adjustRightInd w:val="0"/>
        <w:snapToGrid w:val="0"/>
        <w:spacing w:line="578" w:lineRule="exact"/>
        <w:ind w:left="0"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val="en-US" w:eastAsia="zh-CN"/>
        </w:rPr>
        <w:t>校</w:t>
      </w:r>
      <w:r>
        <w:rPr>
          <w:rFonts w:hint="eastAsia" w:ascii="Times New Roman" w:hAnsi="Times New Roman" w:eastAsia="仿宋_GB2312" w:cs="Times New Roman"/>
          <w:lang w:eastAsia="zh-CN"/>
        </w:rPr>
        <w:t>级</w:t>
      </w:r>
      <w:r>
        <w:rPr>
          <w:rFonts w:hint="eastAsia" w:ascii="Times New Roman" w:hAnsi="Times New Roman" w:eastAsia="仿宋_GB2312" w:cs="Times New Roman"/>
          <w:lang w:val="en-US" w:eastAsia="zh-CN"/>
        </w:rPr>
        <w:t>在线</w:t>
      </w:r>
      <w:r>
        <w:rPr>
          <w:rFonts w:hint="eastAsia" w:ascii="Times New Roman" w:hAnsi="Times New Roman" w:eastAsia="仿宋_GB2312" w:cs="Times New Roman"/>
          <w:lang w:eastAsia="zh-CN"/>
        </w:rPr>
        <w:t>精品课程应为纳入</w:t>
      </w:r>
      <w:r>
        <w:rPr>
          <w:rFonts w:hint="eastAsia" w:ascii="Times New Roman" w:hAnsi="Times New Roman" w:eastAsia="仿宋_GB2312" w:cs="Times New Roman"/>
          <w:lang w:val="en-US" w:eastAsia="zh-CN"/>
        </w:rPr>
        <w:t>我校</w:t>
      </w:r>
      <w:r>
        <w:rPr>
          <w:rFonts w:hint="eastAsia" w:ascii="Times New Roman" w:hAnsi="Times New Roman" w:eastAsia="仿宋_GB2312" w:cs="Times New Roman"/>
          <w:lang w:eastAsia="zh-CN"/>
        </w:rPr>
        <w:t>相关专业人才培养方案并在教学中实际开设的课程，包括公共基础课程、专业（技能）课程（含实训实习），以及其他特色课程。</w:t>
      </w:r>
    </w:p>
    <w:p>
      <w:pPr>
        <w:pStyle w:val="2"/>
        <w:adjustRightInd w:val="0"/>
        <w:snapToGrid w:val="0"/>
        <w:spacing w:line="578" w:lineRule="exact"/>
        <w:ind w:left="0" w:firstLine="640" w:firstLineChars="200"/>
        <w:jc w:val="both"/>
        <w:rPr>
          <w:rFonts w:ascii="黑体" w:hAnsi="黑体" w:eastAsia="黑体" w:cs="Times New Roman"/>
          <w:lang w:eastAsia="zh-CN"/>
        </w:rPr>
      </w:pPr>
      <w:r>
        <w:rPr>
          <w:rFonts w:hint="eastAsia" w:ascii="黑体" w:hAnsi="黑体" w:eastAsia="黑体" w:cs="Times New Roman"/>
          <w:lang w:eastAsia="zh-CN"/>
        </w:rPr>
        <w:t>三、建设要求</w:t>
      </w:r>
    </w:p>
    <w:p>
      <w:pPr>
        <w:pStyle w:val="2"/>
        <w:adjustRightInd w:val="0"/>
        <w:snapToGrid w:val="0"/>
        <w:spacing w:line="576" w:lineRule="exact"/>
        <w:ind w:left="0" w:firstLine="640" w:firstLineChars="200"/>
        <w:jc w:val="both"/>
        <w:rPr>
          <w:rFonts w:hint="eastAsia" w:ascii="Times New Roman" w:hAnsi="Times New Roman" w:eastAsia="仿宋_GB2312" w:cs="Times New Roman"/>
          <w:lang w:eastAsia="zh-CN"/>
        </w:rPr>
      </w:pPr>
      <w:r>
        <w:rPr>
          <w:rFonts w:hint="eastAsia" w:ascii="楷体_GB2312" w:hAnsi="Times New Roman" w:eastAsia="楷体_GB2312" w:cs="Times New Roman"/>
          <w:bCs/>
          <w:lang w:eastAsia="zh-CN"/>
        </w:rPr>
        <w:t>1</w:t>
      </w:r>
      <w:r>
        <w:rPr>
          <w:rFonts w:ascii="楷体_GB2312" w:hAnsi="Times New Roman" w:eastAsia="楷体_GB2312" w:cs="Times New Roman"/>
          <w:bCs/>
          <w:lang w:eastAsia="zh-CN"/>
        </w:rPr>
        <w:t>.</w:t>
      </w:r>
      <w:r>
        <w:rPr>
          <w:rFonts w:hint="eastAsia" w:ascii="楷体_GB2312" w:hAnsi="Times New Roman" w:eastAsia="楷体_GB2312" w:cs="Times New Roman"/>
          <w:bCs/>
          <w:lang w:eastAsia="zh-CN"/>
        </w:rPr>
        <w:t>建设基础。</w:t>
      </w:r>
      <w:r>
        <w:rPr>
          <w:rFonts w:hint="eastAsia" w:ascii="Times New Roman" w:hAnsi="Times New Roman" w:eastAsia="仿宋_GB2312" w:cs="Times New Roman"/>
          <w:lang w:eastAsia="zh-CN"/>
        </w:rPr>
        <w:t>课程总学时不低于32学时，本年度内在学校“智慧树”平台至少完成两个</w:t>
      </w:r>
      <w:r>
        <w:rPr>
          <w:rFonts w:hint="eastAsia" w:ascii="Times New Roman" w:hAnsi="Times New Roman" w:eastAsia="仿宋_GB2312" w:cs="Times New Roman"/>
          <w:lang w:val="en-US" w:eastAsia="zh-CN"/>
        </w:rPr>
        <w:t>学期</w:t>
      </w:r>
      <w:r>
        <w:rPr>
          <w:rFonts w:hint="eastAsia" w:ascii="Times New Roman" w:hAnsi="Times New Roman" w:eastAsia="仿宋_GB2312" w:cs="Times New Roman"/>
          <w:lang w:eastAsia="zh-CN"/>
        </w:rPr>
        <w:t>的在线教学实践或线上线下混合教学实践，在同类课程中教学效果良好</w:t>
      </w:r>
      <w:r>
        <w:rPr>
          <w:rFonts w:hint="eastAsia" w:ascii="Times New Roman" w:hAnsi="Times New Roman" w:eastAsia="仿宋_GB2312" w:cs="Times New Roman"/>
          <w:lang w:eastAsia="zh-CN"/>
        </w:rPr>
        <w:t>。</w:t>
      </w:r>
    </w:p>
    <w:p>
      <w:pPr>
        <w:pStyle w:val="2"/>
        <w:adjustRightInd w:val="0"/>
        <w:snapToGrid w:val="0"/>
        <w:spacing w:line="576" w:lineRule="exact"/>
        <w:ind w:left="0" w:firstLine="640" w:firstLineChars="200"/>
        <w:jc w:val="both"/>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2</w:t>
      </w:r>
      <w:r>
        <w:rPr>
          <w:rFonts w:ascii="Times New Roman" w:hAnsi="Times New Roman" w:eastAsia="仿宋_GB2312" w:cs="Times New Roman"/>
          <w:lang w:eastAsia="zh-CN"/>
        </w:rPr>
        <w:t>.</w:t>
      </w:r>
      <w:r>
        <w:rPr>
          <w:rFonts w:hint="eastAsia" w:ascii="楷体_GB2312" w:hAnsi="Times New Roman" w:eastAsia="楷体_GB2312" w:cs="Times New Roman"/>
          <w:bCs/>
          <w:lang w:eastAsia="zh-CN"/>
        </w:rPr>
        <w:t>课程团队。</w:t>
      </w:r>
      <w:r>
        <w:rPr>
          <w:rFonts w:hint="eastAsia" w:ascii="Times New Roman" w:hAnsi="Times New Roman" w:eastAsia="仿宋_GB2312" w:cs="Times New Roman"/>
          <w:lang w:eastAsia="zh-CN"/>
        </w:rPr>
        <w:t>课程团队结构合理，师德师风优良，教学能力强，数字素养高。专业（技能）课程团队“双师型”教师占比高，有企业兼职教师参与。团队成员分工明确，均承担本课程的建设任务，能保障线上</w:t>
      </w:r>
      <w:r>
        <w:rPr>
          <w:rFonts w:hint="eastAsia" w:ascii="Times New Roman" w:hAnsi="Times New Roman" w:eastAsia="仿宋_GB2312" w:cs="Times New Roman"/>
          <w:lang w:val="en-US" w:eastAsia="zh-CN"/>
        </w:rPr>
        <w:t>线下</w:t>
      </w:r>
      <w:r>
        <w:rPr>
          <w:rFonts w:hint="eastAsia" w:ascii="Times New Roman" w:hAnsi="Times New Roman" w:eastAsia="仿宋_GB2312" w:cs="Times New Roman"/>
          <w:lang w:eastAsia="zh-CN"/>
        </w:rPr>
        <w:t>教学的各项活动正常有序运行，为学习者提供持续在线教学服务。课程负责人须为学校正式聘用的教师，原则上应具有</w:t>
      </w:r>
      <w:r>
        <w:rPr>
          <w:rFonts w:hint="eastAsia" w:ascii="Times New Roman" w:hAnsi="Times New Roman" w:eastAsia="仿宋_GB2312" w:cs="Times New Roman"/>
          <w:highlight w:val="none"/>
          <w:lang w:val="en-US" w:eastAsia="zh-CN"/>
        </w:rPr>
        <w:t>讲师</w:t>
      </w:r>
      <w:r>
        <w:rPr>
          <w:rFonts w:hint="eastAsia" w:ascii="Times New Roman" w:hAnsi="Times New Roman" w:eastAsia="仿宋_GB2312" w:cs="Times New Roman"/>
          <w:highlight w:val="none"/>
          <w:lang w:eastAsia="zh-CN"/>
        </w:rPr>
        <w:t>及以上职称</w:t>
      </w:r>
      <w:r>
        <w:rPr>
          <w:rFonts w:hint="eastAsia" w:ascii="Times New Roman" w:hAnsi="Times New Roman" w:eastAsia="仿宋_GB2312" w:cs="Times New Roman"/>
          <w:lang w:eastAsia="zh-CN"/>
        </w:rPr>
        <w:t>，具有丰富的教学经验和扎实专业功底，在本专业领域具有一定影响力。</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3.</w:t>
      </w:r>
      <w:r>
        <w:rPr>
          <w:rFonts w:hint="eastAsia" w:ascii="楷体_GB2312" w:hAnsi="Times New Roman" w:eastAsia="楷体_GB2312" w:cs="Times New Roman"/>
          <w:bCs/>
          <w:lang w:eastAsia="zh-CN"/>
        </w:rPr>
        <w:t>课程目标</w:t>
      </w:r>
      <w:r>
        <w:rPr>
          <w:rFonts w:ascii="Times New Roman" w:hAnsi="Times New Roman" w:eastAsia="仿宋_GB2312" w:cs="Times New Roman"/>
          <w:lang w:eastAsia="zh-CN"/>
        </w:rPr>
        <w:t>。课程</w:t>
      </w:r>
      <w:r>
        <w:rPr>
          <w:rFonts w:hint="eastAsia" w:ascii="Times New Roman" w:hAnsi="Times New Roman" w:eastAsia="仿宋_GB2312" w:cs="Times New Roman"/>
          <w:lang w:eastAsia="zh-CN"/>
        </w:rPr>
        <w:t>落实立德树人根本任务，定位准确，充分落实相应专业教学标准和公共基础课程标准要求。公共基础课程注重打好文化基础，培养学生思想政治素质、学科核心素养；专业（技能）课程注重提升专业能力，掌握专业技能，培养学生职业道德、工匠精神和综合素养。课程目标表述清晰，内容具体，可评可测。</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4</w:t>
      </w:r>
      <w:r>
        <w:rPr>
          <w:rFonts w:ascii="Times New Roman" w:hAnsi="Times New Roman" w:eastAsia="仿宋_GB2312" w:cs="Times New Roman"/>
          <w:lang w:eastAsia="zh-CN"/>
        </w:rPr>
        <w:t>.</w:t>
      </w:r>
      <w:r>
        <w:rPr>
          <w:rFonts w:hint="eastAsia" w:ascii="楷体_GB2312" w:hAnsi="Times New Roman" w:eastAsia="楷体_GB2312" w:cs="Times New Roman"/>
          <w:bCs/>
          <w:lang w:eastAsia="zh-CN"/>
        </w:rPr>
        <w:t>课程内容</w:t>
      </w:r>
      <w:r>
        <w:rPr>
          <w:rFonts w:hint="eastAsia" w:ascii="Times New Roman" w:hAnsi="Times New Roman" w:eastAsia="仿宋_GB2312" w:cs="Times New Roman"/>
          <w:lang w:eastAsia="zh-CN"/>
        </w:rPr>
        <w:t>。教学内容符合政治性、科学性、先进性、适用性、规范性要求，落实课程思政要求，凸显职业教育类型特征。教学内容完整，结构合理，逻辑清晰，学习单元和学时划分合理，衔接有序。公共基础课程内容及时反映新知识；</w:t>
      </w:r>
      <w:r>
        <w:rPr>
          <w:rFonts w:ascii="Times New Roman" w:hAnsi="Times New Roman" w:eastAsia="仿宋_GB2312" w:cs="Times New Roman"/>
          <w:lang w:eastAsia="zh-CN"/>
        </w:rPr>
        <w:t>专业</w:t>
      </w:r>
      <w:r>
        <w:rPr>
          <w:rFonts w:hint="eastAsia" w:ascii="Times New Roman" w:hAnsi="Times New Roman" w:eastAsia="仿宋_GB2312" w:cs="Times New Roman"/>
          <w:lang w:eastAsia="zh-CN"/>
        </w:rPr>
        <w:t>（技能）</w:t>
      </w:r>
      <w:r>
        <w:rPr>
          <w:rFonts w:ascii="Times New Roman" w:hAnsi="Times New Roman" w:eastAsia="仿宋_GB2312" w:cs="Times New Roman"/>
          <w:lang w:eastAsia="zh-CN"/>
        </w:rPr>
        <w:t>课程紧跟产业发展趋势和行业人才需求</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对接职业标准（规范）、职业技能等级标准</w:t>
      </w:r>
      <w:r>
        <w:rPr>
          <w:rFonts w:hint="eastAsia" w:ascii="Times New Roman" w:hAnsi="Times New Roman" w:eastAsia="仿宋_GB2312" w:cs="Times New Roman"/>
          <w:lang w:eastAsia="zh-CN"/>
        </w:rPr>
        <w:t>，对接新业态、新模式、新岗位，反映相关领域新技术、新工艺、新规范。鼓励积极</w:t>
      </w:r>
      <w:r>
        <w:rPr>
          <w:rFonts w:ascii="Times New Roman" w:hAnsi="Times New Roman" w:eastAsia="仿宋_GB2312" w:cs="Times New Roman"/>
          <w:lang w:eastAsia="zh-CN"/>
        </w:rPr>
        <w:t>推动服务</w:t>
      </w:r>
      <w:r>
        <w:rPr>
          <w:rFonts w:hint="eastAsia" w:ascii="Times New Roman" w:hAnsi="Times New Roman" w:eastAsia="仿宋_GB2312" w:cs="Times New Roman"/>
          <w:lang w:val="en-US" w:eastAsia="zh-CN"/>
        </w:rPr>
        <w:t>社会</w:t>
      </w:r>
      <w:r>
        <w:rPr>
          <w:rFonts w:ascii="Times New Roman" w:hAnsi="Times New Roman" w:eastAsia="仿宋_GB2312" w:cs="Times New Roman"/>
          <w:lang w:eastAsia="zh-CN"/>
        </w:rPr>
        <w:t>新兴产业领域</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校企合作</w:t>
      </w:r>
      <w:r>
        <w:rPr>
          <w:rFonts w:hint="eastAsia" w:ascii="Times New Roman" w:hAnsi="Times New Roman" w:eastAsia="仿宋_GB2312" w:cs="Times New Roman"/>
          <w:lang w:eastAsia="zh-CN"/>
        </w:rPr>
        <w:t>共建的</w:t>
      </w:r>
      <w:r>
        <w:rPr>
          <w:rFonts w:ascii="Times New Roman" w:hAnsi="Times New Roman" w:eastAsia="仿宋_GB2312" w:cs="Times New Roman"/>
          <w:lang w:eastAsia="zh-CN"/>
        </w:rPr>
        <w:t>课程申报立项建设</w:t>
      </w:r>
      <w:r>
        <w:rPr>
          <w:rFonts w:hint="eastAsia" w:ascii="Times New Roman" w:hAnsi="Times New Roman" w:eastAsia="仿宋_GB2312" w:cs="Times New Roman"/>
          <w:lang w:eastAsia="zh-CN"/>
        </w:rPr>
        <w:t>。</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5.</w:t>
      </w:r>
      <w:r>
        <w:rPr>
          <w:rFonts w:ascii="楷体_GB2312" w:hAnsi="Times New Roman" w:eastAsia="楷体_GB2312" w:cs="Times New Roman"/>
          <w:bCs/>
          <w:lang w:eastAsia="zh-CN"/>
        </w:rPr>
        <w:t>课程资源</w:t>
      </w:r>
      <w:r>
        <w:rPr>
          <w:rFonts w:ascii="Times New Roman" w:hAnsi="Times New Roman" w:eastAsia="仿宋_GB2312" w:cs="Times New Roman"/>
          <w:lang w:eastAsia="zh-CN"/>
        </w:rPr>
        <w:t>。课程资源以自主设计与开发为主，与课程内容相匹配、全覆盖，能够满足教学和学习所需，起到能学辅教作用。课程资源内容多样，内在逻辑合理，体现课程思政建设要求，体现行业发展的前沿技术和最新成果。课程资源类型丰富，质量精良，无版权、肖像权争议</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科学规划资源组成，动画、视频、虚拟仿真等类型资源一般不少于30%。课程教材选用符合国家规定，优先选用国家和省级规划教材。</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6.</w:t>
      </w:r>
      <w:r>
        <w:rPr>
          <w:rFonts w:hint="eastAsia" w:ascii="楷体_GB2312" w:hAnsi="Times New Roman" w:eastAsia="楷体_GB2312" w:cs="Times New Roman"/>
          <w:bCs/>
          <w:lang w:eastAsia="zh-CN"/>
        </w:rPr>
        <w:t>课程实施。</w:t>
      </w:r>
      <w:r>
        <w:rPr>
          <w:rFonts w:hint="eastAsia" w:ascii="Times New Roman" w:hAnsi="Times New Roman" w:eastAsia="仿宋_GB2312" w:cs="Times New Roman"/>
          <w:lang w:eastAsia="zh-CN"/>
        </w:rPr>
        <w:t>教学组织</w:t>
      </w:r>
      <w:r>
        <w:rPr>
          <w:rFonts w:ascii="Times New Roman" w:hAnsi="Times New Roman" w:eastAsia="仿宋_GB2312" w:cs="Times New Roman"/>
          <w:lang w:eastAsia="zh-CN"/>
        </w:rPr>
        <w:t>体现教师教材教法改革成果</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围绕教学目标</w:t>
      </w:r>
      <w:r>
        <w:rPr>
          <w:rFonts w:hint="eastAsia" w:ascii="Times New Roman" w:hAnsi="Times New Roman" w:eastAsia="仿宋_GB2312" w:cs="Times New Roman"/>
          <w:lang w:eastAsia="zh-CN"/>
        </w:rPr>
        <w:t>，针对具体学情，科学</w:t>
      </w:r>
      <w:r>
        <w:rPr>
          <w:rFonts w:ascii="Times New Roman" w:hAnsi="Times New Roman" w:eastAsia="仿宋_GB2312" w:cs="Times New Roman"/>
          <w:lang w:eastAsia="zh-CN"/>
        </w:rPr>
        <w:t>设计</w:t>
      </w:r>
      <w:r>
        <w:rPr>
          <w:rFonts w:hint="eastAsia" w:ascii="Times New Roman" w:hAnsi="Times New Roman" w:eastAsia="仿宋_GB2312" w:cs="Times New Roman"/>
          <w:lang w:eastAsia="zh-CN"/>
        </w:rPr>
        <w:t>教学模式和学习任务，合理使用教学方法，有效突破教学重点难点。各项教学</w:t>
      </w:r>
      <w:r>
        <w:rPr>
          <w:rFonts w:ascii="Times New Roman" w:hAnsi="Times New Roman" w:eastAsia="仿宋_GB2312" w:cs="Times New Roman"/>
          <w:lang w:eastAsia="zh-CN"/>
        </w:rPr>
        <w:t>活动</w:t>
      </w:r>
      <w:r>
        <w:rPr>
          <w:rFonts w:hint="eastAsia" w:ascii="Times New Roman" w:hAnsi="Times New Roman" w:eastAsia="仿宋_GB2312" w:cs="Times New Roman"/>
          <w:lang w:eastAsia="zh-CN"/>
        </w:rPr>
        <w:t>完整、有效，教学过程可回溯；合理使用信息手段创新教学模式，适合</w:t>
      </w:r>
      <w:r>
        <w:rPr>
          <w:rFonts w:hint="eastAsia" w:ascii="Times New Roman" w:hAnsi="Times New Roman" w:eastAsia="仿宋_GB2312" w:cs="Times New Roman"/>
          <w:lang w:val="en-US" w:eastAsia="zh-CN"/>
        </w:rPr>
        <w:t>线上线下</w:t>
      </w:r>
      <w:r>
        <w:rPr>
          <w:rFonts w:ascii="Times New Roman" w:hAnsi="Times New Roman" w:eastAsia="仿宋_GB2312" w:cs="Times New Roman"/>
          <w:lang w:eastAsia="zh-CN"/>
        </w:rPr>
        <w:t>学习和混合式</w:t>
      </w:r>
      <w:r>
        <w:rPr>
          <w:rFonts w:hint="eastAsia" w:ascii="Times New Roman" w:hAnsi="Times New Roman" w:eastAsia="仿宋_GB2312" w:cs="Times New Roman"/>
          <w:lang w:eastAsia="zh-CN"/>
        </w:rPr>
        <w:t>教学，能够激发学生学习兴趣和潜能。</w:t>
      </w:r>
      <w:r>
        <w:rPr>
          <w:rFonts w:ascii="Times New Roman" w:hAnsi="Times New Roman" w:eastAsia="仿宋_GB2312" w:cs="Times New Roman"/>
          <w:lang w:eastAsia="zh-CN"/>
        </w:rPr>
        <w:t>提供在线测试、</w:t>
      </w:r>
      <w:r>
        <w:rPr>
          <w:rFonts w:hint="eastAsia" w:ascii="Times New Roman" w:hAnsi="Times New Roman" w:eastAsia="仿宋_GB2312" w:cs="Times New Roman"/>
          <w:lang w:eastAsia="zh-CN"/>
        </w:rPr>
        <w:t>即时在线反馈、</w:t>
      </w:r>
      <w:r>
        <w:rPr>
          <w:rFonts w:ascii="Times New Roman" w:hAnsi="Times New Roman" w:eastAsia="仿宋_GB2312" w:cs="Times New Roman"/>
          <w:lang w:eastAsia="zh-CN"/>
        </w:rPr>
        <w:t>作业</w:t>
      </w:r>
      <w:r>
        <w:rPr>
          <w:rFonts w:hint="eastAsia" w:ascii="Times New Roman" w:hAnsi="Times New Roman" w:eastAsia="仿宋_GB2312" w:cs="Times New Roman"/>
          <w:lang w:eastAsia="zh-CN"/>
        </w:rPr>
        <w:t>提交和批改</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网上社区</w:t>
      </w:r>
      <w:r>
        <w:rPr>
          <w:rFonts w:ascii="Times New Roman" w:hAnsi="Times New Roman" w:eastAsia="仿宋_GB2312" w:cs="Times New Roman"/>
          <w:lang w:eastAsia="zh-CN"/>
        </w:rPr>
        <w:t>讨论等功能并有效实施</w:t>
      </w:r>
      <w:r>
        <w:rPr>
          <w:rFonts w:hint="eastAsia" w:ascii="Times New Roman" w:hAnsi="Times New Roman" w:eastAsia="仿宋_GB2312" w:cs="Times New Roman"/>
          <w:lang w:eastAsia="zh-CN"/>
        </w:rPr>
        <w:t>。教师教学基本功扎实，讲解深入浅出，注重教学互动，能激发学生学习积极性。</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7.</w:t>
      </w:r>
      <w:r>
        <w:rPr>
          <w:rFonts w:hint="eastAsia" w:ascii="楷体_GB2312" w:hAnsi="Times New Roman" w:eastAsia="楷体_GB2312" w:cs="Times New Roman"/>
          <w:bCs/>
          <w:lang w:eastAsia="zh-CN"/>
        </w:rPr>
        <w:t>学习评价。</w:t>
      </w:r>
      <w:r>
        <w:rPr>
          <w:rFonts w:hint="eastAsia" w:ascii="Times New Roman" w:hAnsi="Times New Roman" w:eastAsia="仿宋_GB2312" w:cs="Times New Roman"/>
          <w:lang w:eastAsia="zh-CN"/>
        </w:rPr>
        <w:t>落实教育评价改革要求，建立多元化学习评价体系，科学设计学习评价标准和方式，不断改进结果评价，强化过程评价，探索增值评价，健全综合评价。</w:t>
      </w:r>
      <w:r>
        <w:rPr>
          <w:rFonts w:hint="eastAsia" w:ascii="Times New Roman" w:hAnsi="Times New Roman" w:eastAsia="仿宋_GB2312" w:cs="Times New Roman"/>
          <w:lang w:val="en-US" w:eastAsia="zh-CN"/>
        </w:rPr>
        <w:t>鼓励</w:t>
      </w:r>
      <w:r>
        <w:rPr>
          <w:rFonts w:hint="eastAsia" w:ascii="Times New Roman" w:hAnsi="Times New Roman" w:eastAsia="仿宋_GB2312" w:cs="Times New Roman"/>
          <w:lang w:eastAsia="zh-CN"/>
        </w:rPr>
        <w:t>基于大数据的信息采集分析，全程记录和跟踪教师教学与学生学习过程，</w:t>
      </w:r>
      <w:r>
        <w:rPr>
          <w:rFonts w:ascii="Times New Roman" w:hAnsi="Times New Roman" w:eastAsia="仿宋_GB2312" w:cs="Times New Roman"/>
          <w:lang w:eastAsia="zh-CN"/>
        </w:rPr>
        <w:t>依据数据及时</w:t>
      </w:r>
      <w:r>
        <w:rPr>
          <w:rFonts w:hint="eastAsia" w:ascii="Times New Roman" w:hAnsi="Times New Roman" w:eastAsia="仿宋_GB2312" w:cs="Times New Roman"/>
          <w:lang w:eastAsia="zh-CN"/>
        </w:rPr>
        <w:t>分析教学目标达成情况和存在</w:t>
      </w:r>
      <w:r>
        <w:rPr>
          <w:rFonts w:ascii="Times New Roman" w:hAnsi="Times New Roman" w:eastAsia="仿宋_GB2312" w:cs="Times New Roman"/>
          <w:lang w:eastAsia="zh-CN"/>
        </w:rPr>
        <w:t>问题，调整教学策略</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持续优化</w:t>
      </w:r>
      <w:r>
        <w:rPr>
          <w:rFonts w:hint="eastAsia" w:ascii="Times New Roman" w:hAnsi="Times New Roman" w:eastAsia="仿宋_GB2312" w:cs="Times New Roman"/>
          <w:lang w:eastAsia="zh-CN"/>
        </w:rPr>
        <w:t>教学过程</w:t>
      </w:r>
      <w:r>
        <w:rPr>
          <w:rFonts w:ascii="Times New Roman" w:hAnsi="Times New Roman" w:eastAsia="仿宋_GB2312" w:cs="Times New Roman"/>
          <w:lang w:eastAsia="zh-CN"/>
        </w:rPr>
        <w:t>。</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hint="eastAsia" w:ascii="楷体_GB2312" w:hAnsi="Times New Roman" w:eastAsia="楷体_GB2312" w:cs="Times New Roman"/>
          <w:bCs/>
          <w:lang w:eastAsia="zh-CN"/>
        </w:rPr>
        <w:t>8</w:t>
      </w:r>
      <w:r>
        <w:rPr>
          <w:rFonts w:ascii="楷体_GB2312" w:hAnsi="Times New Roman" w:eastAsia="楷体_GB2312" w:cs="Times New Roman"/>
          <w:bCs/>
          <w:lang w:eastAsia="zh-CN"/>
        </w:rPr>
        <w:t>.</w:t>
      </w:r>
      <w:r>
        <w:rPr>
          <w:rFonts w:hint="eastAsia" w:ascii="楷体_GB2312" w:hAnsi="Times New Roman" w:eastAsia="楷体_GB2312" w:cs="Times New Roman"/>
          <w:bCs/>
          <w:lang w:eastAsia="zh-CN"/>
        </w:rPr>
        <w:t>课程管理。</w:t>
      </w:r>
      <w:r>
        <w:rPr>
          <w:rFonts w:hint="eastAsia" w:ascii="Times New Roman" w:hAnsi="Times New Roman" w:eastAsia="仿宋_GB2312" w:cs="Times New Roman"/>
          <w:lang w:eastAsia="zh-CN"/>
        </w:rPr>
        <w:t>课程教学管理制度完备，教学全过程管理严格有序，注重学习过程和考试监管。教学管理责任明确，落实到位，有效防范“刷课”“替课”“刷考”“替考”行为。教学支持保障条件良好，未发生过较大教学事故。</w:t>
      </w:r>
    </w:p>
    <w:p>
      <w:pPr>
        <w:pStyle w:val="2"/>
        <w:adjustRightInd w:val="0"/>
        <w:snapToGrid w:val="0"/>
        <w:spacing w:line="576" w:lineRule="exact"/>
        <w:ind w:left="0" w:firstLine="640" w:firstLineChars="200"/>
        <w:jc w:val="both"/>
        <w:rPr>
          <w:rFonts w:cs="Times New Roman"/>
          <w:color w:val="C00000"/>
          <w:lang w:eastAsia="zh-CN"/>
        </w:rPr>
      </w:pPr>
      <w:r>
        <w:rPr>
          <w:rFonts w:hint="eastAsia" w:ascii="楷体_GB2312" w:hAnsi="Times New Roman" w:eastAsia="楷体_GB2312" w:cs="Times New Roman"/>
          <w:bCs/>
          <w:lang w:eastAsia="zh-CN"/>
        </w:rPr>
        <w:t>9</w:t>
      </w:r>
      <w:r>
        <w:rPr>
          <w:rFonts w:ascii="楷体_GB2312" w:hAnsi="Times New Roman" w:eastAsia="楷体_GB2312" w:cs="Times New Roman"/>
          <w:bCs/>
          <w:lang w:eastAsia="zh-CN"/>
        </w:rPr>
        <w:t>.</w:t>
      </w:r>
      <w:r>
        <w:rPr>
          <w:rFonts w:hint="eastAsia" w:ascii="楷体_GB2312" w:hAnsi="Times New Roman" w:eastAsia="楷体_GB2312" w:cs="Times New Roman"/>
          <w:bCs/>
          <w:lang w:eastAsia="zh-CN"/>
        </w:rPr>
        <w:t>建设成效。</w:t>
      </w:r>
      <w:r>
        <w:rPr>
          <w:rFonts w:hint="eastAsia" w:ascii="Times New Roman" w:hAnsi="Times New Roman" w:eastAsia="仿宋_GB2312" w:cs="Times New Roman"/>
          <w:lang w:eastAsia="zh-CN"/>
        </w:rPr>
        <w:t>课程各类教学资源应用充分，用户活跃度高。</w:t>
      </w:r>
      <w:r>
        <w:rPr>
          <w:rFonts w:ascii="Times New Roman" w:hAnsi="Times New Roman" w:eastAsia="仿宋_GB2312" w:cs="Times New Roman"/>
          <w:lang w:eastAsia="zh-CN"/>
        </w:rPr>
        <w:t>学生参与度高、</w:t>
      </w:r>
      <w:r>
        <w:rPr>
          <w:rFonts w:hint="eastAsia" w:ascii="Times New Roman" w:hAnsi="Times New Roman" w:eastAsia="仿宋_GB2312" w:cs="Times New Roman"/>
          <w:lang w:eastAsia="zh-CN"/>
        </w:rPr>
        <w:t>学习效果好</w:t>
      </w:r>
      <w:r>
        <w:rPr>
          <w:rFonts w:ascii="Times New Roman" w:hAnsi="Times New Roman" w:eastAsia="仿宋_GB2312" w:cs="Times New Roman"/>
          <w:lang w:eastAsia="zh-CN"/>
        </w:rPr>
        <w:t>、获得感强</w:t>
      </w:r>
      <w:r>
        <w:rPr>
          <w:rFonts w:hint="eastAsia" w:ascii="Times New Roman" w:hAnsi="Times New Roman" w:eastAsia="仿宋_GB2312" w:cs="Times New Roman"/>
          <w:lang w:eastAsia="zh-CN"/>
        </w:rPr>
        <w:t>、满意度高</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面向其他院校学生、企业员工和社会学习者开放学习，应用效果良好，社会影响力大，认可度高。课程特色鲜明，教学改革体现专业升级和数字化改造要求；教学理念先进，具有创新性，能够较好解决职业教育传统教学中的短板问题，教学优势和成效明显；带动其他教育教学改革取得实质性成果，具有推广价值，发挥示范引领作用。</w:t>
      </w:r>
    </w:p>
    <w:p>
      <w:pPr>
        <w:adjustRightInd w:val="0"/>
        <w:snapToGrid w:val="0"/>
        <w:spacing w:line="576" w:lineRule="exact"/>
        <w:ind w:firstLine="640" w:firstLineChars="200"/>
        <w:jc w:val="both"/>
        <w:rPr>
          <w:rFonts w:ascii="黑体" w:hAnsi="黑体" w:eastAsia="黑体" w:cs="Times New Roman"/>
          <w:sz w:val="32"/>
          <w:szCs w:val="32"/>
          <w:lang w:eastAsia="zh-CN"/>
        </w:rPr>
      </w:pPr>
      <w:r>
        <w:rPr>
          <w:rFonts w:hint="eastAsia" w:ascii="黑体" w:hAnsi="黑体" w:eastAsia="黑体" w:cs="Times New Roman"/>
          <w:sz w:val="32"/>
          <w:szCs w:val="32"/>
          <w:lang w:eastAsia="zh-CN"/>
        </w:rPr>
        <w:t>四、建设组织与管理</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1.</w:t>
      </w:r>
      <w:r>
        <w:rPr>
          <w:rFonts w:hint="eastAsia" w:ascii="Times New Roman" w:hAnsi="Times New Roman" w:eastAsia="仿宋_GB2312" w:cs="Times New Roman"/>
          <w:lang w:val="en-US" w:eastAsia="zh-CN"/>
        </w:rPr>
        <w:t>教务处</w:t>
      </w:r>
      <w:r>
        <w:rPr>
          <w:rFonts w:ascii="Times New Roman" w:hAnsi="Times New Roman" w:eastAsia="仿宋_GB2312" w:cs="Times New Roman"/>
          <w:lang w:eastAsia="zh-CN"/>
        </w:rPr>
        <w:t>负责</w:t>
      </w:r>
      <w:r>
        <w:rPr>
          <w:rFonts w:hint="eastAsia" w:ascii="Times New Roman" w:hAnsi="Times New Roman" w:eastAsia="仿宋_GB2312" w:cs="Times New Roman"/>
          <w:lang w:eastAsia="zh-CN"/>
        </w:rPr>
        <w:t>制定</w:t>
      </w:r>
      <w:r>
        <w:rPr>
          <w:rFonts w:hint="eastAsia" w:ascii="Times New Roman" w:hAnsi="Times New Roman" w:eastAsia="仿宋_GB2312" w:cs="Times New Roman"/>
          <w:lang w:val="en-US" w:eastAsia="zh-CN"/>
        </w:rPr>
        <w:t>校级在线精品课程</w:t>
      </w:r>
      <w:r>
        <w:rPr>
          <w:rFonts w:ascii="Times New Roman" w:hAnsi="Times New Roman" w:eastAsia="仿宋_GB2312" w:cs="Times New Roman"/>
          <w:lang w:eastAsia="zh-CN"/>
        </w:rPr>
        <w:t>的建设计划、遴选和评价标准，</w:t>
      </w:r>
      <w:r>
        <w:rPr>
          <w:rFonts w:hint="eastAsia" w:ascii="Times New Roman" w:hAnsi="Times New Roman" w:eastAsia="仿宋_GB2312" w:cs="Times New Roman"/>
          <w:lang w:eastAsia="zh-CN"/>
        </w:rPr>
        <w:t>分批</w:t>
      </w:r>
      <w:r>
        <w:rPr>
          <w:rFonts w:ascii="Times New Roman" w:hAnsi="Times New Roman" w:eastAsia="仿宋_GB2312" w:cs="Times New Roman"/>
          <w:lang w:eastAsia="zh-CN"/>
        </w:rPr>
        <w:t>组织实施课程的申报</w:t>
      </w:r>
      <w:r>
        <w:rPr>
          <w:rFonts w:hint="eastAsia" w:ascii="Times New Roman" w:hAnsi="Times New Roman" w:eastAsia="仿宋_GB2312" w:cs="Times New Roman"/>
          <w:lang w:eastAsia="zh-CN"/>
        </w:rPr>
        <w:t>和</w:t>
      </w:r>
      <w:r>
        <w:rPr>
          <w:rFonts w:ascii="Times New Roman" w:hAnsi="Times New Roman" w:eastAsia="仿宋_GB2312" w:cs="Times New Roman"/>
          <w:lang w:eastAsia="zh-CN"/>
        </w:rPr>
        <w:t>遴选。</w:t>
      </w:r>
    </w:p>
    <w:p>
      <w:pPr>
        <w:pStyle w:val="2"/>
        <w:adjustRightInd w:val="0"/>
        <w:snapToGrid w:val="0"/>
        <w:spacing w:line="576" w:lineRule="exact"/>
        <w:ind w:left="0" w:firstLine="640" w:firstLineChars="200"/>
        <w:jc w:val="both"/>
        <w:rPr>
          <w:rFonts w:ascii="Times New Roman" w:hAnsi="Times New Roman" w:eastAsia="仿宋_GB2312" w:cs="Times New Roman"/>
          <w:color w:val="FF0000"/>
          <w:lang w:eastAsia="zh-CN"/>
        </w:rPr>
      </w:pPr>
      <w:r>
        <w:rPr>
          <w:rFonts w:hint="eastAsia" w:ascii="Times New Roman" w:hAnsi="Times New Roman" w:eastAsia="仿宋_GB2312" w:cs="Times New Roman"/>
          <w:lang w:eastAsia="zh-CN"/>
        </w:rPr>
        <w:t>2.各</w:t>
      </w:r>
      <w:r>
        <w:rPr>
          <w:rFonts w:hint="eastAsia" w:ascii="Times New Roman" w:hAnsi="Times New Roman" w:eastAsia="仿宋_GB2312" w:cs="Times New Roman"/>
          <w:lang w:val="en-US" w:eastAsia="zh-CN"/>
        </w:rPr>
        <w:t>二级院部</w:t>
      </w:r>
      <w:r>
        <w:rPr>
          <w:rFonts w:ascii="Times New Roman" w:hAnsi="Times New Roman" w:eastAsia="仿宋_GB2312" w:cs="Times New Roman"/>
          <w:lang w:eastAsia="zh-CN"/>
        </w:rPr>
        <w:t>是</w:t>
      </w:r>
      <w:r>
        <w:rPr>
          <w:rFonts w:hint="eastAsia" w:ascii="Times New Roman" w:hAnsi="Times New Roman" w:eastAsia="仿宋_GB2312" w:cs="Times New Roman"/>
          <w:lang w:val="en-US" w:eastAsia="zh-CN"/>
        </w:rPr>
        <w:t>校级在线精品课程</w:t>
      </w:r>
      <w:r>
        <w:rPr>
          <w:rFonts w:ascii="Times New Roman" w:hAnsi="Times New Roman" w:eastAsia="仿宋_GB2312" w:cs="Times New Roman"/>
          <w:lang w:eastAsia="zh-CN"/>
        </w:rPr>
        <w:t>建设的主体，应按照</w:t>
      </w:r>
      <w:r>
        <w:rPr>
          <w:rFonts w:hint="eastAsia" w:ascii="Times New Roman" w:hAnsi="Times New Roman" w:eastAsia="仿宋_GB2312" w:cs="Times New Roman"/>
          <w:lang w:eastAsia="zh-CN"/>
        </w:rPr>
        <w:t>相关</w:t>
      </w:r>
      <w:r>
        <w:rPr>
          <w:rFonts w:ascii="Times New Roman" w:hAnsi="Times New Roman" w:eastAsia="仿宋_GB2312" w:cs="Times New Roman"/>
          <w:lang w:eastAsia="zh-CN"/>
        </w:rPr>
        <w:t>建设要求，</w:t>
      </w:r>
      <w:r>
        <w:rPr>
          <w:rFonts w:hint="eastAsia" w:ascii="Times New Roman" w:hAnsi="Times New Roman" w:eastAsia="仿宋_GB2312" w:cs="Times New Roman"/>
          <w:lang w:eastAsia="zh-CN"/>
        </w:rPr>
        <w:t>统筹规划、</w:t>
      </w:r>
      <w:r>
        <w:rPr>
          <w:rFonts w:ascii="Times New Roman" w:hAnsi="Times New Roman" w:eastAsia="仿宋_GB2312" w:cs="Times New Roman"/>
          <w:lang w:eastAsia="zh-CN"/>
        </w:rPr>
        <w:t>组织</w:t>
      </w:r>
      <w:r>
        <w:rPr>
          <w:rFonts w:hint="eastAsia" w:ascii="Times New Roman" w:hAnsi="Times New Roman" w:eastAsia="仿宋_GB2312" w:cs="Times New Roman"/>
          <w:lang w:eastAsia="zh-CN"/>
        </w:rPr>
        <w:t>实施精品课程</w:t>
      </w:r>
      <w:r>
        <w:rPr>
          <w:rFonts w:hint="eastAsia" w:ascii="Times New Roman" w:hAnsi="Times New Roman" w:eastAsia="仿宋_GB2312" w:cs="Times New Roman"/>
          <w:lang w:val="en-US" w:eastAsia="zh-CN"/>
        </w:rPr>
        <w:t>的</w:t>
      </w:r>
      <w:r>
        <w:rPr>
          <w:rFonts w:hint="eastAsia" w:ascii="Times New Roman" w:hAnsi="Times New Roman" w:eastAsia="仿宋_GB2312" w:cs="Times New Roman"/>
          <w:lang w:eastAsia="zh-CN"/>
        </w:rPr>
        <w:t>建设</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负责课程内容的审查，</w:t>
      </w:r>
      <w:r>
        <w:rPr>
          <w:rFonts w:ascii="Times New Roman" w:hAnsi="Times New Roman" w:eastAsia="仿宋_GB2312" w:cs="Times New Roman"/>
          <w:lang w:eastAsia="zh-CN"/>
        </w:rPr>
        <w:t>择优推荐</w:t>
      </w:r>
      <w:r>
        <w:rPr>
          <w:rFonts w:hint="eastAsia" w:ascii="Times New Roman" w:hAnsi="Times New Roman" w:eastAsia="仿宋_GB2312" w:cs="Times New Roman"/>
          <w:lang w:eastAsia="zh-CN"/>
        </w:rPr>
        <w:t>申报。应落实《教育部等五部门关于加强普通高等学校在线开放课程教学管理的若干意见》（教高〔</w:t>
      </w:r>
      <w:r>
        <w:rPr>
          <w:rFonts w:ascii="Times New Roman" w:hAnsi="Times New Roman" w:eastAsia="仿宋_GB2312" w:cs="Times New Roman"/>
          <w:lang w:eastAsia="zh-CN"/>
        </w:rPr>
        <w:t>2022〕1号</w:t>
      </w:r>
      <w:r>
        <w:rPr>
          <w:rFonts w:hint="eastAsia" w:ascii="Times New Roman" w:hAnsi="Times New Roman" w:eastAsia="仿宋_GB2312" w:cs="Times New Roman"/>
          <w:lang w:eastAsia="zh-CN"/>
        </w:rPr>
        <w:t>）等规定，建立健全课程建设与管理制度，规范教师教学行为，严格学生学习行为要求和考试纪律，完善课程监督机制</w:t>
      </w:r>
      <w:r>
        <w:rPr>
          <w:rFonts w:ascii="Times New Roman" w:hAnsi="Times New Roman" w:eastAsia="仿宋_GB2312" w:cs="Times New Roman"/>
          <w:lang w:eastAsia="zh-CN"/>
        </w:rPr>
        <w:t>，做到线上与线下课程同管理、同要求</w:t>
      </w:r>
      <w:r>
        <w:rPr>
          <w:rFonts w:hint="eastAsia" w:ascii="Times New Roman" w:hAnsi="Times New Roman" w:eastAsia="仿宋_GB2312" w:cs="Times New Roman"/>
          <w:lang w:eastAsia="zh-CN"/>
        </w:rPr>
        <w:t>。</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3</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课程负责人和课程团队是精品课程建设的直接责任人，应保持每学年动态更新教学资源，并提供入选</w:t>
      </w:r>
      <w:r>
        <w:rPr>
          <w:rFonts w:hint="eastAsia" w:ascii="Times New Roman" w:hAnsi="Times New Roman" w:eastAsia="仿宋_GB2312" w:cs="Times New Roman"/>
          <w:highlight w:val="none"/>
          <w:lang w:eastAsia="zh-CN"/>
        </w:rPr>
        <w:t>后不少于</w:t>
      </w:r>
      <w:r>
        <w:rPr>
          <w:rFonts w:ascii="Times New Roman" w:hAnsi="Times New Roman" w:eastAsia="仿宋_GB2312" w:cs="Times New Roman"/>
          <w:highlight w:val="none"/>
          <w:lang w:eastAsia="zh-CN"/>
        </w:rPr>
        <w:t>5年的</w:t>
      </w:r>
      <w:r>
        <w:rPr>
          <w:rFonts w:ascii="Times New Roman" w:hAnsi="Times New Roman" w:eastAsia="仿宋_GB2312" w:cs="Times New Roman"/>
          <w:lang w:eastAsia="zh-CN"/>
        </w:rPr>
        <w:t>教学服务。</w:t>
      </w:r>
      <w:r>
        <w:rPr>
          <w:rFonts w:hint="eastAsia" w:ascii="Times New Roman" w:hAnsi="Times New Roman" w:eastAsia="仿宋_GB2312" w:cs="Times New Roman"/>
          <w:lang w:eastAsia="zh-CN"/>
        </w:rPr>
        <w:t>应坚持“建以致用”，积极推动课程的使用，创新教学手段和教学方法，开展线上线下混合教学等教学改革，提高学生学习实效；积极推动</w:t>
      </w:r>
      <w:r>
        <w:rPr>
          <w:rFonts w:hint="eastAsia" w:ascii="Times New Roman" w:hAnsi="Times New Roman" w:eastAsia="仿宋_GB2312" w:cs="Times New Roman"/>
          <w:lang w:val="en-US" w:eastAsia="zh-CN"/>
        </w:rPr>
        <w:t>校内</w:t>
      </w:r>
      <w:r>
        <w:rPr>
          <w:rFonts w:hint="eastAsia" w:ascii="Times New Roman" w:hAnsi="Times New Roman" w:eastAsia="仿宋_GB2312" w:cs="Times New Roman"/>
          <w:lang w:eastAsia="zh-CN"/>
        </w:rPr>
        <w:t>校际协同共建、课程共享和学分互认，提高优质资源的使用效能。</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5</w:t>
      </w:r>
      <w:r>
        <w:rPr>
          <w:rFonts w:ascii="Times New Roman" w:hAnsi="Times New Roman" w:eastAsia="仿宋_GB2312" w:cs="Times New Roman"/>
          <w:lang w:eastAsia="zh-CN"/>
        </w:rPr>
        <w:t>.</w:t>
      </w:r>
      <w:r>
        <w:rPr>
          <w:rFonts w:hint="eastAsia" w:ascii="Times New Roman" w:hAnsi="Times New Roman" w:eastAsia="仿宋_GB2312" w:cs="Times New Roman"/>
          <w:lang w:val="en-US" w:eastAsia="zh-CN"/>
        </w:rPr>
        <w:t>教务处</w:t>
      </w:r>
      <w:r>
        <w:rPr>
          <w:rFonts w:ascii="Times New Roman" w:hAnsi="Times New Roman" w:eastAsia="仿宋_GB2312" w:cs="Times New Roman"/>
          <w:lang w:eastAsia="zh-CN"/>
        </w:rPr>
        <w:t>对</w:t>
      </w:r>
      <w:r>
        <w:rPr>
          <w:rFonts w:hint="eastAsia" w:ascii="Times New Roman" w:hAnsi="Times New Roman" w:eastAsia="仿宋_GB2312" w:cs="Times New Roman"/>
          <w:lang w:val="en-US" w:eastAsia="zh-CN"/>
        </w:rPr>
        <w:t>校级在线精品课程</w:t>
      </w:r>
      <w:r>
        <w:rPr>
          <w:rFonts w:hint="eastAsia" w:ascii="Times New Roman" w:hAnsi="Times New Roman" w:eastAsia="仿宋_GB2312" w:cs="Times New Roman"/>
          <w:lang w:eastAsia="zh-CN"/>
        </w:rPr>
        <w:t>的教学运行</w:t>
      </w:r>
      <w:r>
        <w:rPr>
          <w:rFonts w:ascii="Times New Roman" w:hAnsi="Times New Roman" w:eastAsia="仿宋_GB2312" w:cs="Times New Roman"/>
          <w:lang w:eastAsia="zh-CN"/>
        </w:rPr>
        <w:t>实施</w:t>
      </w:r>
      <w:r>
        <w:rPr>
          <w:rFonts w:hint="eastAsia" w:ascii="Times New Roman" w:hAnsi="Times New Roman" w:eastAsia="仿宋_GB2312" w:cs="Times New Roman"/>
          <w:lang w:eastAsia="zh-CN"/>
        </w:rPr>
        <w:t>持续</w:t>
      </w:r>
      <w:r>
        <w:rPr>
          <w:rFonts w:ascii="Times New Roman" w:hAnsi="Times New Roman" w:eastAsia="仿宋_GB2312" w:cs="Times New Roman"/>
          <w:lang w:eastAsia="zh-CN"/>
        </w:rPr>
        <w:t>监测</w:t>
      </w:r>
      <w:r>
        <w:rPr>
          <w:rFonts w:hint="eastAsia" w:ascii="Times New Roman" w:hAnsi="Times New Roman" w:eastAsia="仿宋_GB2312" w:cs="Times New Roman"/>
          <w:lang w:eastAsia="zh-CN"/>
        </w:rPr>
        <w:t>和</w:t>
      </w:r>
      <w:r>
        <w:rPr>
          <w:rFonts w:ascii="Times New Roman" w:hAnsi="Times New Roman" w:eastAsia="仿宋_GB2312" w:cs="Times New Roman"/>
          <w:lang w:eastAsia="zh-CN"/>
        </w:rPr>
        <w:t>综合评价，引导课程的持续建设和不断改进。对于未按要求持续提供教学服务、出现严重质量问题、课程团队成员出现师德师风等问题的课程，将按规定追责问责</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对</w:t>
      </w:r>
      <w:r>
        <w:rPr>
          <w:rFonts w:hint="eastAsia" w:ascii="Times New Roman" w:hAnsi="Times New Roman" w:eastAsia="仿宋_GB2312" w:cs="Times New Roman"/>
          <w:lang w:eastAsia="zh-CN"/>
        </w:rPr>
        <w:t>于</w:t>
      </w:r>
      <w:r>
        <w:rPr>
          <w:rFonts w:ascii="Times New Roman" w:hAnsi="Times New Roman" w:eastAsia="仿宋_GB2312" w:cs="Times New Roman"/>
          <w:lang w:eastAsia="zh-CN"/>
        </w:rPr>
        <w:t>综合评价不合格的课程，取消课程的</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扬州中瑞酒店职业学院在线</w:t>
      </w:r>
      <w:r>
        <w:rPr>
          <w:rFonts w:hint="eastAsia" w:ascii="Times New Roman" w:hAnsi="Times New Roman" w:eastAsia="仿宋_GB2312" w:cs="Times New Roman"/>
          <w:lang w:eastAsia="zh-CN"/>
        </w:rPr>
        <w:t>精品</w:t>
      </w:r>
      <w:r>
        <w:rPr>
          <w:rFonts w:ascii="Times New Roman" w:hAnsi="Times New Roman" w:eastAsia="仿宋_GB2312" w:cs="Times New Roman"/>
          <w:lang w:eastAsia="zh-CN"/>
        </w:rPr>
        <w:t>课程</w:t>
      </w:r>
      <w:r>
        <w:rPr>
          <w:rFonts w:hint="eastAsia" w:ascii="Times New Roman" w:hAnsi="Times New Roman" w:eastAsia="仿宋_GB2312" w:cs="Times New Roman"/>
          <w:lang w:eastAsia="zh-CN"/>
        </w:rPr>
        <w:t>”称号</w:t>
      </w:r>
      <w:r>
        <w:rPr>
          <w:rFonts w:ascii="Times New Roman" w:hAnsi="Times New Roman" w:eastAsia="仿宋_GB2312" w:cs="Times New Roman"/>
          <w:lang w:eastAsia="zh-CN"/>
        </w:rPr>
        <w:t>。</w:t>
      </w:r>
    </w:p>
    <w:p>
      <w:pPr>
        <w:adjustRightInd w:val="0"/>
        <w:snapToGrid w:val="0"/>
        <w:spacing w:line="576" w:lineRule="exact"/>
        <w:ind w:firstLine="640" w:firstLineChars="200"/>
        <w:jc w:val="both"/>
        <w:rPr>
          <w:rFonts w:ascii="黑体" w:hAnsi="黑体" w:eastAsia="黑体" w:cs="Times New Roman"/>
          <w:sz w:val="32"/>
          <w:szCs w:val="32"/>
          <w:lang w:eastAsia="zh-CN"/>
        </w:rPr>
      </w:pPr>
      <w:r>
        <w:rPr>
          <w:rFonts w:hint="eastAsia" w:ascii="黑体" w:hAnsi="黑体" w:eastAsia="黑体" w:cs="Times New Roman"/>
          <w:sz w:val="32"/>
          <w:szCs w:val="32"/>
          <w:lang w:eastAsia="zh-CN"/>
        </w:rPr>
        <w:t>五、建设保障</w:t>
      </w:r>
    </w:p>
    <w:p>
      <w:pPr>
        <w:pStyle w:val="2"/>
        <w:adjustRightInd w:val="0"/>
        <w:snapToGrid w:val="0"/>
        <w:spacing w:line="576" w:lineRule="exact"/>
        <w:ind w:left="0" w:firstLine="640" w:firstLineChars="200"/>
        <w:jc w:val="both"/>
        <w:rPr>
          <w:rFonts w:ascii="Times New Roman" w:hAnsi="Times New Roman" w:eastAsia="仿宋_GB2312" w:cs="Times New Roman"/>
          <w:lang w:eastAsia="zh-CN"/>
        </w:rPr>
      </w:pPr>
      <w:r>
        <w:rPr>
          <w:rFonts w:ascii="楷体_GB2312" w:hAnsi="Times New Roman" w:eastAsia="楷体_GB2312" w:cs="Times New Roman"/>
          <w:bCs/>
          <w:lang w:eastAsia="zh-CN"/>
        </w:rPr>
        <w:t>1</w:t>
      </w:r>
      <w:r>
        <w:rPr>
          <w:rFonts w:hint="eastAsia" w:ascii="楷体_GB2312" w:hAnsi="Times New Roman" w:eastAsia="楷体_GB2312" w:cs="Times New Roman"/>
          <w:bCs/>
          <w:lang w:eastAsia="zh-CN"/>
        </w:rPr>
        <w:t>.政策保障。</w:t>
      </w:r>
      <w:r>
        <w:rPr>
          <w:rFonts w:ascii="Times New Roman" w:hAnsi="Times New Roman" w:eastAsia="仿宋_GB2312" w:cs="Times New Roman"/>
          <w:lang w:eastAsia="zh-CN"/>
        </w:rPr>
        <w:t>各</w:t>
      </w:r>
      <w:r>
        <w:rPr>
          <w:rFonts w:hint="eastAsia" w:ascii="Times New Roman" w:hAnsi="Times New Roman" w:eastAsia="仿宋_GB2312" w:cs="Times New Roman"/>
          <w:lang w:val="en-US" w:eastAsia="zh-CN"/>
        </w:rPr>
        <w:t>二级院部</w:t>
      </w:r>
      <w:r>
        <w:rPr>
          <w:rFonts w:ascii="Times New Roman" w:hAnsi="Times New Roman" w:eastAsia="仿宋_GB2312" w:cs="Times New Roman"/>
          <w:lang w:eastAsia="zh-CN"/>
        </w:rPr>
        <w:t>要研究制定激励</w:t>
      </w:r>
      <w:r>
        <w:rPr>
          <w:rFonts w:hint="eastAsia" w:ascii="Times New Roman" w:hAnsi="Times New Roman" w:eastAsia="仿宋_GB2312" w:cs="Times New Roman"/>
          <w:lang w:eastAsia="zh-CN"/>
        </w:rPr>
        <w:t>制度</w:t>
      </w:r>
      <w:r>
        <w:rPr>
          <w:rFonts w:ascii="Times New Roman" w:hAnsi="Times New Roman" w:eastAsia="仿宋_GB2312" w:cs="Times New Roman"/>
          <w:lang w:eastAsia="zh-CN"/>
        </w:rPr>
        <w:t>，引导教师积极参与</w:t>
      </w:r>
      <w:bookmarkStart w:id="0" w:name="_Hlk110581165"/>
      <w:r>
        <w:rPr>
          <w:rFonts w:hint="eastAsia" w:ascii="Times New Roman" w:hAnsi="Times New Roman" w:eastAsia="仿宋_GB2312" w:cs="Times New Roman"/>
          <w:lang w:eastAsia="zh-CN"/>
        </w:rPr>
        <w:t>在线精品</w:t>
      </w:r>
      <w:bookmarkEnd w:id="0"/>
      <w:r>
        <w:rPr>
          <w:rFonts w:hint="eastAsia" w:ascii="Times New Roman" w:hAnsi="Times New Roman" w:eastAsia="仿宋_GB2312" w:cs="Times New Roman"/>
          <w:lang w:eastAsia="zh-CN"/>
        </w:rPr>
        <w:t>课程的开发、培育、建设和应用，吸引教师、学生</w:t>
      </w:r>
      <w:r>
        <w:rPr>
          <w:rFonts w:ascii="Times New Roman" w:hAnsi="Times New Roman" w:eastAsia="仿宋_GB2312" w:cs="Times New Roman"/>
          <w:lang w:eastAsia="zh-CN"/>
        </w:rPr>
        <w:t>使用</w:t>
      </w:r>
      <w:r>
        <w:rPr>
          <w:rFonts w:hint="eastAsia" w:ascii="Times New Roman" w:hAnsi="Times New Roman" w:eastAsia="仿宋_GB2312" w:cs="Times New Roman"/>
          <w:lang w:eastAsia="zh-CN"/>
        </w:rPr>
        <w:t>在线精品</w:t>
      </w:r>
      <w:r>
        <w:rPr>
          <w:rFonts w:ascii="Times New Roman" w:hAnsi="Times New Roman" w:eastAsia="仿宋_GB2312" w:cs="Times New Roman"/>
          <w:lang w:eastAsia="zh-CN"/>
        </w:rPr>
        <w:t>课程。</w:t>
      </w:r>
    </w:p>
    <w:p>
      <w:pPr>
        <w:pStyle w:val="2"/>
        <w:adjustRightInd w:val="0"/>
        <w:snapToGrid w:val="0"/>
        <w:spacing w:line="576" w:lineRule="exact"/>
        <w:ind w:left="0" w:firstLine="640" w:firstLineChars="200"/>
        <w:jc w:val="both"/>
        <w:rPr>
          <w:rFonts w:ascii="宋体" w:hAnsi="宋体" w:eastAsia="宋体" w:cs="宋体"/>
          <w:sz w:val="28"/>
          <w:szCs w:val="28"/>
        </w:rPr>
      </w:pPr>
      <w:r>
        <w:rPr>
          <w:rFonts w:ascii="楷体_GB2312" w:hAnsi="Times New Roman" w:eastAsia="楷体_GB2312" w:cs="Times New Roman"/>
          <w:bCs/>
          <w:lang w:eastAsia="zh-CN"/>
        </w:rPr>
        <w:t>2</w:t>
      </w:r>
      <w:r>
        <w:rPr>
          <w:rFonts w:hint="eastAsia" w:ascii="楷体_GB2312" w:hAnsi="Times New Roman" w:eastAsia="楷体_GB2312" w:cs="Times New Roman"/>
          <w:bCs/>
          <w:lang w:eastAsia="zh-CN"/>
        </w:rPr>
        <w:t>.</w:t>
      </w:r>
      <w:r>
        <w:rPr>
          <w:rFonts w:ascii="楷体_GB2312" w:hAnsi="Times New Roman" w:eastAsia="楷体_GB2312" w:cs="Times New Roman"/>
          <w:bCs/>
          <w:lang w:eastAsia="zh-CN"/>
        </w:rPr>
        <w:t>知识产权保护。</w:t>
      </w:r>
      <w:r>
        <w:rPr>
          <w:rFonts w:hint="eastAsia" w:ascii="Times New Roman" w:hAnsi="Times New Roman" w:eastAsia="仿宋_GB2312" w:cs="Times New Roman"/>
          <w:lang w:val="en-US" w:eastAsia="zh-CN"/>
        </w:rPr>
        <w:t>入选的</w:t>
      </w:r>
      <w:r>
        <w:rPr>
          <w:rFonts w:hint="eastAsia" w:ascii="Times New Roman" w:hAnsi="Times New Roman" w:eastAsia="仿宋_GB2312" w:cs="Times New Roman"/>
          <w:lang w:eastAsia="zh-CN"/>
        </w:rPr>
        <w:t>精品</w:t>
      </w:r>
      <w:r>
        <w:rPr>
          <w:rFonts w:ascii="Times New Roman" w:hAnsi="Times New Roman" w:eastAsia="仿宋_GB2312" w:cs="Times New Roman"/>
          <w:lang w:eastAsia="zh-CN"/>
        </w:rPr>
        <w:t>课程所</w:t>
      </w:r>
      <w:r>
        <w:rPr>
          <w:rFonts w:hint="eastAsia" w:ascii="Times New Roman" w:hAnsi="Times New Roman" w:eastAsia="仿宋_GB2312" w:cs="Times New Roman"/>
          <w:lang w:eastAsia="zh-CN"/>
        </w:rPr>
        <w:t>引</w:t>
      </w:r>
      <w:r>
        <w:rPr>
          <w:rFonts w:ascii="Times New Roman" w:hAnsi="Times New Roman" w:eastAsia="仿宋_GB2312" w:cs="Times New Roman"/>
          <w:lang w:eastAsia="zh-CN"/>
        </w:rPr>
        <w:t>用的图片、音视频等素材应注明出处。除特别约定外，</w:t>
      </w:r>
      <w:r>
        <w:rPr>
          <w:rFonts w:hint="eastAsia" w:ascii="Times New Roman" w:hAnsi="Times New Roman" w:eastAsia="仿宋_GB2312" w:cs="Times New Roman"/>
          <w:lang w:eastAsia="zh-CN"/>
        </w:rPr>
        <w:t>精品</w:t>
      </w:r>
      <w:r>
        <w:rPr>
          <w:rFonts w:ascii="Times New Roman" w:hAnsi="Times New Roman" w:eastAsia="仿宋_GB2312" w:cs="Times New Roman"/>
          <w:lang w:eastAsia="zh-CN"/>
        </w:rPr>
        <w:t>课程所有权归</w:t>
      </w:r>
      <w:r>
        <w:rPr>
          <w:rFonts w:ascii="Times New Roman" w:hAnsi="Times New Roman" w:eastAsia="仿宋_GB2312" w:cs="Times New Roman"/>
          <w:highlight w:val="none"/>
          <w:lang w:eastAsia="zh-CN"/>
        </w:rPr>
        <w:t>属</w:t>
      </w:r>
      <w:r>
        <w:rPr>
          <w:rFonts w:hint="eastAsia" w:ascii="Times New Roman" w:hAnsi="Times New Roman" w:eastAsia="仿宋_GB2312" w:cs="Times New Roman"/>
          <w:highlight w:val="none"/>
          <w:lang w:val="en-US" w:eastAsia="zh-CN"/>
        </w:rPr>
        <w:t>学校</w:t>
      </w:r>
      <w:r>
        <w:rPr>
          <w:rFonts w:ascii="Times New Roman" w:hAnsi="Times New Roman" w:eastAsia="仿宋_GB2312" w:cs="Times New Roman"/>
          <w:highlight w:val="none"/>
          <w:lang w:eastAsia="zh-CN"/>
        </w:rPr>
        <w:t>，</w:t>
      </w:r>
      <w:r>
        <w:rPr>
          <w:rFonts w:ascii="Times New Roman" w:hAnsi="Times New Roman" w:eastAsia="仿宋_GB2312" w:cs="Times New Roman"/>
          <w:lang w:eastAsia="zh-CN"/>
        </w:rPr>
        <w:t>自制数字化资源的所有权归属课程团队。</w:t>
      </w:r>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815957-7A63-4EDD-946E-E2C07763EE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76A3E4A4-4C46-471E-94AB-42EB9FAF78F1}"/>
  </w:font>
  <w:font w:name="方正大标宋简体">
    <w:altName w:val="微软雅黑"/>
    <w:panose1 w:val="00000000000000000000"/>
    <w:charset w:val="86"/>
    <w:family w:val="auto"/>
    <w:pitch w:val="default"/>
    <w:sig w:usb0="00000000" w:usb1="00000000" w:usb2="00000010" w:usb3="00000000" w:csb0="00040000" w:csb1="00000000"/>
    <w:embedRegular r:id="rId3" w:fontKey="{5B225BB3-E195-4AF9-B7E1-A42F489691FC}"/>
  </w:font>
  <w:font w:name="仿宋_GB2312">
    <w:panose1 w:val="02010609030101010101"/>
    <w:charset w:val="86"/>
    <w:family w:val="modern"/>
    <w:pitch w:val="default"/>
    <w:sig w:usb0="00000001" w:usb1="080E0000" w:usb2="00000000" w:usb3="00000000" w:csb0="00040000" w:csb1="00000000"/>
    <w:embedRegular r:id="rId4" w:fontKey="{08FBABE4-8D2B-4304-87F3-63BD975D1C36}"/>
  </w:font>
  <w:font w:name="楷体_GB2312">
    <w:altName w:val="楷体"/>
    <w:panose1 w:val="02010609030101010101"/>
    <w:charset w:val="86"/>
    <w:family w:val="modern"/>
    <w:pitch w:val="default"/>
    <w:sig w:usb0="00000000" w:usb1="00000000" w:usb2="00000000" w:usb3="00000000" w:csb0="00040000" w:csb1="00000000"/>
    <w:embedRegular r:id="rId5" w:fontKey="{4C5D82F1-BF8A-4C16-870C-FAC1D0C4EAC5}"/>
  </w:font>
  <w:font w:name="仿宋">
    <w:panose1 w:val="02010609060101010101"/>
    <w:charset w:val="86"/>
    <w:family w:val="modern"/>
    <w:pitch w:val="default"/>
    <w:sig w:usb0="800002BF" w:usb1="38CF7CFA" w:usb2="00000016" w:usb3="00000000" w:csb0="00040001" w:csb1="00000000"/>
    <w:embedRegular r:id="rId6" w:fontKey="{7B17675E-A5E1-41E9-AC4E-7A95E27E99CA}"/>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 w:name="KSO_WPS_MARK_KEY" w:val="0e234fd2-5bd5-4178-b2b6-2994690d2ea5"/>
  </w:docVars>
  <w:rsids>
    <w:rsidRoot w:val="00521262"/>
    <w:rsid w:val="00000A8B"/>
    <w:rsid w:val="000326D2"/>
    <w:rsid w:val="00076A79"/>
    <w:rsid w:val="00222C59"/>
    <w:rsid w:val="00290170"/>
    <w:rsid w:val="002E7A3A"/>
    <w:rsid w:val="00310D56"/>
    <w:rsid w:val="00373688"/>
    <w:rsid w:val="003D220F"/>
    <w:rsid w:val="00404513"/>
    <w:rsid w:val="00467AB3"/>
    <w:rsid w:val="004D23F5"/>
    <w:rsid w:val="004F26CD"/>
    <w:rsid w:val="00521262"/>
    <w:rsid w:val="0062676C"/>
    <w:rsid w:val="00755D13"/>
    <w:rsid w:val="007B33C0"/>
    <w:rsid w:val="00941F88"/>
    <w:rsid w:val="00A4787C"/>
    <w:rsid w:val="00B575AD"/>
    <w:rsid w:val="00B67B7C"/>
    <w:rsid w:val="00BF19DC"/>
    <w:rsid w:val="00CE2ED2"/>
    <w:rsid w:val="00D005AE"/>
    <w:rsid w:val="00D05FAF"/>
    <w:rsid w:val="00D441A5"/>
    <w:rsid w:val="00DD63C0"/>
    <w:rsid w:val="00ED5358"/>
    <w:rsid w:val="00F51F8C"/>
    <w:rsid w:val="051F3460"/>
    <w:rsid w:val="06883E25"/>
    <w:rsid w:val="089B13F1"/>
    <w:rsid w:val="0D9508C7"/>
    <w:rsid w:val="0E1332DC"/>
    <w:rsid w:val="0EB9159E"/>
    <w:rsid w:val="114710E3"/>
    <w:rsid w:val="13960100"/>
    <w:rsid w:val="17367C2F"/>
    <w:rsid w:val="18BB194D"/>
    <w:rsid w:val="1961185F"/>
    <w:rsid w:val="1F082509"/>
    <w:rsid w:val="1FD53A87"/>
    <w:rsid w:val="1FE16BA6"/>
    <w:rsid w:val="20EC527E"/>
    <w:rsid w:val="21A43C4C"/>
    <w:rsid w:val="26790D9F"/>
    <w:rsid w:val="29494991"/>
    <w:rsid w:val="2D6B7AAF"/>
    <w:rsid w:val="30FC55EE"/>
    <w:rsid w:val="32AB77D7"/>
    <w:rsid w:val="34FE7A77"/>
    <w:rsid w:val="36FB6BF2"/>
    <w:rsid w:val="37F24B67"/>
    <w:rsid w:val="386B37E8"/>
    <w:rsid w:val="39047736"/>
    <w:rsid w:val="3D5B4258"/>
    <w:rsid w:val="3E1D4EE8"/>
    <w:rsid w:val="40D706B4"/>
    <w:rsid w:val="4182569C"/>
    <w:rsid w:val="452546EC"/>
    <w:rsid w:val="47091C4B"/>
    <w:rsid w:val="47604AA4"/>
    <w:rsid w:val="4BC31A99"/>
    <w:rsid w:val="4D3161C8"/>
    <w:rsid w:val="4F052A84"/>
    <w:rsid w:val="54F064E1"/>
    <w:rsid w:val="5BF712D0"/>
    <w:rsid w:val="5F6036F6"/>
    <w:rsid w:val="62D80278"/>
    <w:rsid w:val="638B442C"/>
    <w:rsid w:val="6428275E"/>
    <w:rsid w:val="6C137EA8"/>
    <w:rsid w:val="7076691A"/>
    <w:rsid w:val="720D4C6B"/>
    <w:rsid w:val="721675B7"/>
    <w:rsid w:val="72DF5BFA"/>
    <w:rsid w:val="75D752AF"/>
    <w:rsid w:val="7BE6624C"/>
    <w:rsid w:val="7C507B69"/>
    <w:rsid w:val="7CEC5AE4"/>
    <w:rsid w:val="7E3F37CF"/>
    <w:rsid w:val="7F6F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8"/>
    </w:pPr>
    <w:rPr>
      <w:sz w:val="32"/>
      <w:szCs w:val="32"/>
    </w:r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4"/>
    <w:autoRedefine/>
    <w:qFormat/>
    <w:uiPriority w:val="0"/>
    <w:rPr>
      <w:rFonts w:asciiTheme="minorHAnsi" w:hAnsiTheme="minorHAnsi" w:eastAsiaTheme="minorEastAsia" w:cstheme="minorBidi"/>
      <w:kern w:val="2"/>
      <w:sz w:val="18"/>
      <w:szCs w:val="18"/>
    </w:rPr>
  </w:style>
  <w:style w:type="paragraph" w:customStyle="1" w:styleId="14">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2649</Words>
  <Characters>2683</Characters>
  <Lines>1</Lines>
  <Paragraphs>1</Paragraphs>
  <TotalTime>0</TotalTime>
  <ScaleCrop>false</ScaleCrop>
  <LinksUpToDate>false</LinksUpToDate>
  <CharactersWithSpaces>2683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2023-02-27T04:40:00Z</dcterms:created>
  <dc:creator>Administrator</dc:creator>
  <cp:lastModifiedBy>shirley</cp:lastModifiedBy>
  <cp:lastPrinted>2023-02-22T03:32:00Z</cp:lastPrinted>
  <dcterms:modified xsi:type="dcterms:W3CDTF">2024-05-17T00:44:09Z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367689619AED4276895BF9596A18A859</vt:lpwstr>
  </property>
</Properties>
</file>